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4A" w:rsidRDefault="008649A4">
      <w:pPr>
        <w:rPr>
          <w:rFonts w:ascii="Times New Roman" w:hAnsi="Times New Roman" w:cs="Times New Roman"/>
          <w:b/>
          <w:sz w:val="28"/>
          <w:szCs w:val="28"/>
        </w:rPr>
      </w:pPr>
      <w:r w:rsidRPr="008649A4">
        <w:rPr>
          <w:rFonts w:ascii="Times New Roman" w:hAnsi="Times New Roman" w:cs="Times New Roman"/>
          <w:b/>
          <w:sz w:val="28"/>
          <w:szCs w:val="28"/>
        </w:rPr>
        <w:t>Předmluva od recenzenta</w:t>
      </w:r>
    </w:p>
    <w:p w:rsidR="00837ACF" w:rsidRPr="00837ACF" w:rsidRDefault="008649A4" w:rsidP="00837ACF">
      <w:pPr>
        <w:spacing w:after="0" w:line="240" w:lineRule="auto"/>
        <w:jc w:val="both"/>
        <w:rPr>
          <w:rFonts w:ascii="Times New Roman" w:hAnsi="Times New Roman" w:cs="Times New Roman"/>
          <w:sz w:val="28"/>
          <w:szCs w:val="28"/>
        </w:rPr>
      </w:pPr>
      <w:r w:rsidRPr="00837ACF">
        <w:rPr>
          <w:rFonts w:ascii="Times New Roman" w:hAnsi="Times New Roman" w:cs="Times New Roman"/>
          <w:sz w:val="28"/>
          <w:szCs w:val="28"/>
        </w:rPr>
        <w:t>Evropská dimenze postavení naší centrální banky je výsledkem dlouholetého politického, ekonomického, ale i legislativního procesu, který se jako příslovečná červená niť táhne celou dvacetiletou historií České národní banky.</w:t>
      </w:r>
      <w:r w:rsidR="008C5E96" w:rsidRPr="00837ACF">
        <w:rPr>
          <w:rFonts w:ascii="Times New Roman" w:hAnsi="Times New Roman" w:cs="Times New Roman"/>
          <w:sz w:val="28"/>
          <w:szCs w:val="28"/>
        </w:rPr>
        <w:t xml:space="preserve"> Je třeba podtrhnout, že v našich podmínkách získalo postavení ČNB dokonce ústavní dimenzi v podobě článku 98 Ústavy ČR, což není vůbec ve členských zemích Evropské unie obvyklé. </w:t>
      </w:r>
      <w:r w:rsidR="00D40E6B" w:rsidRPr="00837ACF">
        <w:rPr>
          <w:rFonts w:ascii="Times New Roman" w:hAnsi="Times New Roman" w:cs="Times New Roman"/>
          <w:bCs/>
          <w:sz w:val="28"/>
          <w:szCs w:val="28"/>
        </w:rPr>
        <w:t xml:space="preserve">Ústavní úprava centrální banky reflektuje ovšem poznatky moderní </w:t>
      </w:r>
      <w:proofErr w:type="spellStart"/>
      <w:r w:rsidR="00D40E6B" w:rsidRPr="00837ACF">
        <w:rPr>
          <w:rFonts w:ascii="Times New Roman" w:hAnsi="Times New Roman" w:cs="Times New Roman"/>
          <w:bCs/>
          <w:sz w:val="28"/>
          <w:szCs w:val="28"/>
        </w:rPr>
        <w:t>konstitucionalistiky</w:t>
      </w:r>
      <w:proofErr w:type="spellEnd"/>
      <w:r w:rsidR="00D40E6B" w:rsidRPr="00837ACF">
        <w:rPr>
          <w:rFonts w:ascii="Times New Roman" w:hAnsi="Times New Roman" w:cs="Times New Roman"/>
          <w:bCs/>
          <w:sz w:val="28"/>
          <w:szCs w:val="28"/>
        </w:rPr>
        <w:t xml:space="preserve">, kde se postupně docházelo a dochází k požadavkům regulovat postavení centrální banky nejen v ústavách federativních států, kde to je spjato s vertikální dělbou působnosti mezi federací a jejími částmi (zejm. v Základním zákoně SRN), ale i ve státech unitárních, jakým se stala i ČR v roce 1993. Přibývá tedy ústav, kde jsou upraveny postavení centrální banky a její funkce (čl. 261n Ústavy Ecuadoru, čl. 111 Ústavy Estonska, čl. 53 Ústavy Chorvatska, čl. 375n Ústavy Kolumbie, čl. 227 Ústavy Polska, čl. 53 Ústavy Slovenska nebo čl. 99 Ústavy Švýcarska). </w:t>
      </w:r>
      <w:r w:rsidR="008C5E96" w:rsidRPr="00837ACF">
        <w:rPr>
          <w:rFonts w:ascii="Times New Roman" w:hAnsi="Times New Roman" w:cs="Times New Roman"/>
          <w:sz w:val="28"/>
          <w:szCs w:val="28"/>
        </w:rPr>
        <w:t xml:space="preserve">Na druhé straně </w:t>
      </w:r>
      <w:r w:rsidR="008C5E96" w:rsidRPr="00837ACF">
        <w:rPr>
          <w:rFonts w:ascii="Times New Roman" w:hAnsi="Times New Roman" w:cs="Times New Roman"/>
          <w:bCs/>
          <w:sz w:val="28"/>
          <w:szCs w:val="28"/>
        </w:rPr>
        <w:t xml:space="preserve">ústavní pojetí centrální banky nepatřilo v dobách tvorby naší </w:t>
      </w:r>
      <w:r w:rsidR="003E26E5">
        <w:rPr>
          <w:rFonts w:ascii="Times New Roman" w:hAnsi="Times New Roman" w:cs="Times New Roman"/>
          <w:bCs/>
          <w:sz w:val="28"/>
          <w:szCs w:val="28"/>
        </w:rPr>
        <w:t>Ú</w:t>
      </w:r>
      <w:r w:rsidR="008C5E96" w:rsidRPr="00837ACF">
        <w:rPr>
          <w:rFonts w:ascii="Times New Roman" w:hAnsi="Times New Roman" w:cs="Times New Roman"/>
          <w:bCs/>
          <w:sz w:val="28"/>
          <w:szCs w:val="28"/>
        </w:rPr>
        <w:t>stavy k dominantním tématům diskusí o ústavních základech nového českého státu.</w:t>
      </w:r>
      <w:r w:rsidR="00D40E6B" w:rsidRPr="00837ACF">
        <w:rPr>
          <w:rFonts w:ascii="Times New Roman" w:hAnsi="Times New Roman"/>
          <w:bCs/>
          <w:sz w:val="28"/>
          <w:szCs w:val="28"/>
        </w:rPr>
        <w:t xml:space="preserve"> Proto pozdější vývoj naší právní úpravy centrálního bankovnictví musel jít ruku v ruce s odpovídajícími ústavními změnami.</w:t>
      </w:r>
      <w:r w:rsidR="00837ACF" w:rsidRPr="00837ACF">
        <w:rPr>
          <w:rFonts w:ascii="Times New Roman" w:hAnsi="Times New Roman"/>
          <w:bCs/>
          <w:sz w:val="28"/>
          <w:szCs w:val="28"/>
        </w:rPr>
        <w:t xml:space="preserve"> </w:t>
      </w:r>
      <w:r w:rsidR="00837ACF" w:rsidRPr="00837ACF">
        <w:rPr>
          <w:rFonts w:ascii="Times New Roman" w:hAnsi="Times New Roman" w:cs="Times New Roman"/>
          <w:sz w:val="28"/>
          <w:szCs w:val="28"/>
        </w:rPr>
        <w:t xml:space="preserve">Nejvýznamnější bylo jistě schválení </w:t>
      </w:r>
      <w:r w:rsidR="00837ACF" w:rsidRPr="00837ACF">
        <w:rPr>
          <w:rFonts w:ascii="Times New Roman" w:hAnsi="Times New Roman" w:cs="Times New Roman"/>
          <w:bCs/>
          <w:sz w:val="28"/>
          <w:szCs w:val="28"/>
        </w:rPr>
        <w:t>ústavního zákona č. 448/20</w:t>
      </w:r>
      <w:r w:rsidR="002602EF">
        <w:rPr>
          <w:rFonts w:ascii="Times New Roman" w:hAnsi="Times New Roman" w:cs="Times New Roman"/>
          <w:bCs/>
          <w:sz w:val="28"/>
          <w:szCs w:val="28"/>
        </w:rPr>
        <w:t>01 Sb., jímž byl nově definován</w:t>
      </w:r>
      <w:r w:rsidR="00837ACF" w:rsidRPr="00837ACF">
        <w:rPr>
          <w:rFonts w:ascii="Times New Roman" w:hAnsi="Times New Roman" w:cs="Times New Roman"/>
          <w:bCs/>
          <w:sz w:val="28"/>
          <w:szCs w:val="28"/>
        </w:rPr>
        <w:t xml:space="preserve"> cíl České národní banky tak, </w:t>
      </w:r>
      <w:r w:rsidR="00837ACF" w:rsidRPr="00837ACF">
        <w:rPr>
          <w:rFonts w:ascii="Times New Roman" w:hAnsi="Times New Roman" w:cs="Times New Roman"/>
          <w:bCs/>
          <w:iCs/>
          <w:sz w:val="28"/>
          <w:szCs w:val="28"/>
        </w:rPr>
        <w:t>že se jím stala péče o cenovou stabilitu</w:t>
      </w:r>
      <w:r w:rsidR="00837ACF" w:rsidRPr="00837ACF">
        <w:rPr>
          <w:rFonts w:ascii="Times New Roman" w:hAnsi="Times New Roman" w:cs="Times New Roman"/>
          <w:bCs/>
          <w:i/>
          <w:sz w:val="28"/>
          <w:szCs w:val="28"/>
        </w:rPr>
        <w:t>.</w:t>
      </w:r>
      <w:r w:rsidR="00837ACF" w:rsidRPr="00837ACF">
        <w:rPr>
          <w:rFonts w:ascii="Times New Roman" w:hAnsi="Times New Roman" w:cs="Times New Roman"/>
          <w:sz w:val="28"/>
          <w:szCs w:val="28"/>
        </w:rPr>
        <w:t xml:space="preserve"> K tomu dlužno dodat, že evropské pojetí orientace centrální banky na cenovou stabilitu je nepochybně modernější než naše dřívější pojetí její orientace na stabilitu měnovou. Cílování cenové stability umožňuje totiž centrální bance daleko lépe prognózovat inflaci, především díky objemu peněžní zásoby a zároveň používat s předstihem, a tedy i daleko efektivněji, nástroje měnové politiky.  </w:t>
      </w:r>
    </w:p>
    <w:p w:rsidR="00D40E6B" w:rsidRDefault="00D40E6B" w:rsidP="00D40E6B">
      <w:pPr>
        <w:pStyle w:val="Zkladntext"/>
        <w:jc w:val="both"/>
        <w:rPr>
          <w:rFonts w:ascii="Times New Roman" w:hAnsi="Times New Roman"/>
          <w:b w:val="0"/>
          <w:bCs/>
          <w:sz w:val="28"/>
          <w:szCs w:val="28"/>
        </w:rPr>
      </w:pPr>
    </w:p>
    <w:p w:rsidR="002602EF" w:rsidRDefault="008C5E96" w:rsidP="008C5E9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Autoři předkládaného komentáře naprosto správně vycházejí právě ze shora naznačených skutečností, totiž z ústavního zakotvení České národní banky a z unijních souvislostí výkladu a aplikace zákona o České národní bance. </w:t>
      </w:r>
      <w:r w:rsidR="00837ACF">
        <w:rPr>
          <w:rFonts w:ascii="Times New Roman" w:hAnsi="Times New Roman" w:cs="Times New Roman"/>
          <w:bCs/>
          <w:sz w:val="28"/>
          <w:szCs w:val="28"/>
        </w:rPr>
        <w:t xml:space="preserve">Sledují dynamiku Zákona o ČNB v českých i unijních souvislostech ze všech nejdůležitějších hledisek. </w:t>
      </w:r>
      <w:r w:rsidR="0068753B">
        <w:rPr>
          <w:rFonts w:ascii="Times New Roman" w:hAnsi="Times New Roman" w:cs="Times New Roman"/>
          <w:bCs/>
          <w:sz w:val="28"/>
          <w:szCs w:val="28"/>
        </w:rPr>
        <w:t>Budiž tu podtrženo</w:t>
      </w:r>
      <w:r w:rsidR="00837ACF">
        <w:rPr>
          <w:rFonts w:ascii="Times New Roman" w:hAnsi="Times New Roman" w:cs="Times New Roman"/>
          <w:bCs/>
          <w:sz w:val="28"/>
          <w:szCs w:val="28"/>
        </w:rPr>
        <w:t xml:space="preserve">, že právě dynamika vývoje právní úpravy centrálního bankovnictví je v posledních letech v EU značná. </w:t>
      </w:r>
      <w:r w:rsidR="005D1E36">
        <w:rPr>
          <w:rFonts w:ascii="Times New Roman" w:hAnsi="Times New Roman" w:cs="Times New Roman"/>
          <w:bCs/>
          <w:sz w:val="28"/>
          <w:szCs w:val="28"/>
        </w:rPr>
        <w:t>Zdá se, jako by byly zpochybňovány t</w:t>
      </w:r>
      <w:r w:rsidR="002602EF">
        <w:rPr>
          <w:rFonts w:ascii="Times New Roman" w:hAnsi="Times New Roman" w:cs="Times New Roman"/>
          <w:bCs/>
          <w:sz w:val="28"/>
          <w:szCs w:val="28"/>
        </w:rPr>
        <w:t>olik proklamované zásady samotné</w:t>
      </w:r>
      <w:r w:rsidR="005D1E36">
        <w:rPr>
          <w:rFonts w:ascii="Times New Roman" w:hAnsi="Times New Roman" w:cs="Times New Roman"/>
          <w:bCs/>
          <w:sz w:val="28"/>
          <w:szCs w:val="28"/>
        </w:rPr>
        <w:t xml:space="preserve"> nezávislosti centrálních bank ve vztahu k rozpočtové poli</w:t>
      </w:r>
      <w:r w:rsidR="007439C4">
        <w:rPr>
          <w:rFonts w:ascii="Times New Roman" w:hAnsi="Times New Roman" w:cs="Times New Roman"/>
          <w:bCs/>
          <w:sz w:val="28"/>
          <w:szCs w:val="28"/>
        </w:rPr>
        <w:t>ti</w:t>
      </w:r>
      <w:r w:rsidR="005D1E36">
        <w:rPr>
          <w:rFonts w:ascii="Times New Roman" w:hAnsi="Times New Roman" w:cs="Times New Roman"/>
          <w:bCs/>
          <w:sz w:val="28"/>
          <w:szCs w:val="28"/>
        </w:rPr>
        <w:t>ce Unie a členských států.</w:t>
      </w:r>
      <w:r w:rsidR="002602EF">
        <w:rPr>
          <w:rFonts w:ascii="Times New Roman" w:hAnsi="Times New Roman" w:cs="Times New Roman"/>
          <w:bCs/>
          <w:sz w:val="28"/>
          <w:szCs w:val="28"/>
        </w:rPr>
        <w:t xml:space="preserve"> Soudní praxe se zatím rozpakuje obhajovat byť i s</w:t>
      </w:r>
      <w:r w:rsidR="002602EF">
        <w:rPr>
          <w:rFonts w:ascii="Times New Roman" w:hAnsi="Times New Roman" w:cs="Times New Roman"/>
          <w:sz w:val="28"/>
          <w:szCs w:val="28"/>
        </w:rPr>
        <w:t xml:space="preserve">kryté </w:t>
      </w:r>
      <w:bookmarkStart w:id="0" w:name="_GoBack"/>
      <w:bookmarkEnd w:id="0"/>
      <w:r w:rsidR="002602EF">
        <w:rPr>
          <w:rFonts w:ascii="Times New Roman" w:hAnsi="Times New Roman" w:cs="Times New Roman"/>
          <w:sz w:val="28"/>
          <w:szCs w:val="28"/>
        </w:rPr>
        <w:t xml:space="preserve">porušování čl. 123 Smlouvy o fungování EU, také pod vlivem rozsudku Soudního dvora EU ve věci </w:t>
      </w:r>
      <w:proofErr w:type="spellStart"/>
      <w:r w:rsidR="002602EF">
        <w:rPr>
          <w:rFonts w:ascii="Times New Roman" w:hAnsi="Times New Roman" w:cs="Times New Roman"/>
          <w:sz w:val="28"/>
          <w:szCs w:val="28"/>
        </w:rPr>
        <w:t>Pringle</w:t>
      </w:r>
      <w:proofErr w:type="spellEnd"/>
      <w:r w:rsidR="002602EF">
        <w:rPr>
          <w:rFonts w:ascii="Times New Roman" w:eastAsia="Times New Roman" w:hAnsi="Times New Roman" w:cs="Times New Roman"/>
          <w:sz w:val="28"/>
          <w:szCs w:val="28"/>
          <w:lang w:eastAsia="cs-CZ"/>
        </w:rPr>
        <w:t xml:space="preserve">, podle něhož zákaz sanovat veřejné rozpočty Evropskou centrální bankou dle čl. 123 SFEU je něco jiného než Evropský mechanismus stability. Právě ten nemá za cíl zákaz stanovený v článku 123 SFEU obejít. Účastnické státy se totiž nemohou přímo ani prostřednictvím organizací, které si zřídí nebo které uznají, odchýlit od unijního práva nebo takovou odchylku strpět. </w:t>
      </w:r>
      <w:r w:rsidR="002602EF">
        <w:rPr>
          <w:rFonts w:ascii="Times New Roman" w:hAnsi="Times New Roman" w:cs="Times New Roman"/>
          <w:sz w:val="28"/>
          <w:szCs w:val="28"/>
        </w:rPr>
        <w:t xml:space="preserve"> </w:t>
      </w:r>
    </w:p>
    <w:p w:rsidR="002602EF" w:rsidRDefault="002602EF" w:rsidP="008C5E96">
      <w:pPr>
        <w:spacing w:after="0" w:line="240" w:lineRule="auto"/>
        <w:jc w:val="both"/>
        <w:rPr>
          <w:rFonts w:ascii="Times New Roman" w:hAnsi="Times New Roman" w:cs="Times New Roman"/>
          <w:bCs/>
          <w:sz w:val="28"/>
          <w:szCs w:val="28"/>
        </w:rPr>
      </w:pPr>
    </w:p>
    <w:p w:rsidR="00C840AF" w:rsidRDefault="00DE0294" w:rsidP="008C5E9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Teorie </w:t>
      </w:r>
      <w:r w:rsidR="00C22BF6">
        <w:rPr>
          <w:rFonts w:ascii="Times New Roman" w:hAnsi="Times New Roman" w:cs="Times New Roman"/>
          <w:bCs/>
          <w:sz w:val="28"/>
          <w:szCs w:val="28"/>
        </w:rPr>
        <w:t>o</w:t>
      </w:r>
      <w:r>
        <w:rPr>
          <w:rFonts w:ascii="Times New Roman" w:hAnsi="Times New Roman" w:cs="Times New Roman"/>
          <w:bCs/>
          <w:sz w:val="28"/>
          <w:szCs w:val="28"/>
        </w:rPr>
        <w:t xml:space="preserve"> praxe rovněž přehodnotila rozšířené názory devadesátých let, že by dohledová politika měla být postupně vyjímána z působnosti centrálních bank a převáděna v oddělené dohledové orgány. Koncepce britského modelu</w:t>
      </w:r>
      <w:r w:rsidR="00C840AF">
        <w:rPr>
          <w:rFonts w:ascii="Times New Roman" w:hAnsi="Times New Roman" w:cs="Times New Roman"/>
          <w:bCs/>
          <w:sz w:val="28"/>
          <w:szCs w:val="28"/>
        </w:rPr>
        <w:t xml:space="preserve"> </w:t>
      </w:r>
      <w:proofErr w:type="spellStart"/>
      <w:r w:rsidR="00C840AF" w:rsidRPr="007439C4">
        <w:rPr>
          <w:rFonts w:ascii="Times New Roman" w:hAnsi="Times New Roman" w:cs="Times New Roman"/>
          <w:bCs/>
          <w:sz w:val="28"/>
          <w:szCs w:val="28"/>
        </w:rPr>
        <w:t>Financial</w:t>
      </w:r>
      <w:proofErr w:type="spellEnd"/>
      <w:r w:rsidR="00C840AF" w:rsidRPr="007439C4">
        <w:rPr>
          <w:rFonts w:ascii="Times New Roman" w:hAnsi="Times New Roman" w:cs="Times New Roman"/>
          <w:bCs/>
          <w:sz w:val="28"/>
          <w:szCs w:val="28"/>
        </w:rPr>
        <w:t xml:space="preserve"> </w:t>
      </w:r>
      <w:proofErr w:type="spellStart"/>
      <w:r w:rsidR="007439C4" w:rsidRPr="007439C4">
        <w:rPr>
          <w:rFonts w:ascii="Times New Roman" w:hAnsi="Times New Roman" w:cs="Times New Roman"/>
          <w:bCs/>
          <w:sz w:val="28"/>
          <w:szCs w:val="28"/>
        </w:rPr>
        <w:t>s</w:t>
      </w:r>
      <w:r w:rsidR="00C840AF" w:rsidRPr="007439C4">
        <w:rPr>
          <w:rFonts w:ascii="Times New Roman" w:hAnsi="Times New Roman" w:cs="Times New Roman"/>
          <w:bCs/>
          <w:sz w:val="28"/>
          <w:szCs w:val="28"/>
        </w:rPr>
        <w:t>ervices</w:t>
      </w:r>
      <w:proofErr w:type="spellEnd"/>
      <w:r w:rsidR="00C840AF" w:rsidRPr="007439C4">
        <w:rPr>
          <w:rFonts w:ascii="Times New Roman" w:hAnsi="Times New Roman" w:cs="Times New Roman"/>
          <w:bCs/>
          <w:sz w:val="28"/>
          <w:szCs w:val="28"/>
        </w:rPr>
        <w:t xml:space="preserve"> </w:t>
      </w:r>
      <w:proofErr w:type="spellStart"/>
      <w:r w:rsidR="007439C4" w:rsidRPr="007439C4">
        <w:rPr>
          <w:rFonts w:ascii="Times New Roman" w:hAnsi="Times New Roman" w:cs="Times New Roman"/>
          <w:bCs/>
          <w:sz w:val="28"/>
          <w:szCs w:val="28"/>
        </w:rPr>
        <w:t>a</w:t>
      </w:r>
      <w:r w:rsidR="00C840AF" w:rsidRPr="007439C4">
        <w:rPr>
          <w:rFonts w:ascii="Times New Roman" w:hAnsi="Times New Roman" w:cs="Times New Roman"/>
          <w:bCs/>
          <w:sz w:val="28"/>
          <w:szCs w:val="28"/>
        </w:rPr>
        <w:t>uthority</w:t>
      </w:r>
      <w:proofErr w:type="spellEnd"/>
      <w:r w:rsidR="00C840AF">
        <w:rPr>
          <w:rFonts w:ascii="Times New Roman" w:hAnsi="Times New Roman" w:cs="Times New Roman"/>
          <w:bCs/>
          <w:sz w:val="28"/>
          <w:szCs w:val="28"/>
        </w:rPr>
        <w:t xml:space="preserve"> byla vývoje</w:t>
      </w:r>
      <w:r w:rsidR="005C4887">
        <w:rPr>
          <w:rFonts w:ascii="Times New Roman" w:hAnsi="Times New Roman" w:cs="Times New Roman"/>
          <w:bCs/>
          <w:sz w:val="28"/>
          <w:szCs w:val="28"/>
        </w:rPr>
        <w:t>m</w:t>
      </w:r>
      <w:r w:rsidR="00C840AF">
        <w:rPr>
          <w:rFonts w:ascii="Times New Roman" w:hAnsi="Times New Roman" w:cs="Times New Roman"/>
          <w:bCs/>
          <w:sz w:val="28"/>
          <w:szCs w:val="28"/>
        </w:rPr>
        <w:t xml:space="preserve"> v době evropské dluhové krize zviklána. Potvrdila se sice myšlenka, že dohled nad finančními službami by měl b</w:t>
      </w:r>
      <w:r w:rsidR="005C4887">
        <w:rPr>
          <w:rFonts w:ascii="Times New Roman" w:hAnsi="Times New Roman" w:cs="Times New Roman"/>
          <w:bCs/>
          <w:sz w:val="28"/>
          <w:szCs w:val="28"/>
        </w:rPr>
        <w:t>ýt organizován z jediného místa (t</w:t>
      </w:r>
      <w:r w:rsidR="00C840AF">
        <w:rPr>
          <w:rFonts w:ascii="Times New Roman" w:hAnsi="Times New Roman" w:cs="Times New Roman"/>
          <w:bCs/>
          <w:sz w:val="28"/>
          <w:szCs w:val="28"/>
        </w:rPr>
        <w:t>uto koncepci ostatn</w:t>
      </w:r>
      <w:r w:rsidR="005C4887">
        <w:rPr>
          <w:rFonts w:ascii="Times New Roman" w:hAnsi="Times New Roman" w:cs="Times New Roman"/>
          <w:bCs/>
          <w:sz w:val="28"/>
          <w:szCs w:val="28"/>
        </w:rPr>
        <w:t>ě přijala i naše právní úprava), o</w:t>
      </w:r>
      <w:r w:rsidR="00C840AF">
        <w:rPr>
          <w:rFonts w:ascii="Times New Roman" w:hAnsi="Times New Roman" w:cs="Times New Roman"/>
          <w:bCs/>
          <w:sz w:val="28"/>
          <w:szCs w:val="28"/>
        </w:rPr>
        <w:t>všem současný trend spíše směřuje k organizaci dohledu v rámci centrálních bankovních institucí. Svědčí o tom ostatně i projekt evropské bankovní unie a postavení Evropské centrální banky v tomto systému.</w:t>
      </w:r>
    </w:p>
    <w:p w:rsidR="00C840AF" w:rsidRDefault="00C840AF" w:rsidP="008C5E96">
      <w:pPr>
        <w:spacing w:after="0" w:line="240" w:lineRule="auto"/>
        <w:jc w:val="both"/>
        <w:rPr>
          <w:rFonts w:ascii="Times New Roman" w:hAnsi="Times New Roman" w:cs="Times New Roman"/>
          <w:bCs/>
          <w:sz w:val="28"/>
          <w:szCs w:val="28"/>
        </w:rPr>
      </w:pPr>
    </w:p>
    <w:p w:rsidR="008C5E96" w:rsidRDefault="00C840AF" w:rsidP="008C5E9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Mimořádně hodnotným přínosem tohoto komentáře k Zákonu o ČNB jsou rovněž úvahy </w:t>
      </w:r>
      <w:r>
        <w:rPr>
          <w:rFonts w:ascii="Times New Roman" w:hAnsi="Times New Roman" w:cs="Times New Roman"/>
          <w:bCs/>
          <w:i/>
          <w:sz w:val="28"/>
          <w:szCs w:val="28"/>
        </w:rPr>
        <w:t xml:space="preserve">de lege </w:t>
      </w:r>
      <w:proofErr w:type="spellStart"/>
      <w:r>
        <w:rPr>
          <w:rFonts w:ascii="Times New Roman" w:hAnsi="Times New Roman" w:cs="Times New Roman"/>
          <w:bCs/>
          <w:i/>
          <w:sz w:val="28"/>
          <w:szCs w:val="28"/>
        </w:rPr>
        <w:t>ferenda</w:t>
      </w:r>
      <w:proofErr w:type="spellEnd"/>
      <w:r>
        <w:rPr>
          <w:rFonts w:ascii="Times New Roman" w:hAnsi="Times New Roman" w:cs="Times New Roman"/>
          <w:bCs/>
          <w:sz w:val="28"/>
          <w:szCs w:val="28"/>
        </w:rPr>
        <w:t xml:space="preserve">. Autoři velmi zodpovědně předvídají vývoj ústavní i zákonné úpravy našeho centrálního bankovnictví v souvislosti se vstupem do třetí etapy hospodářské a měnové unie a s procesem přípravy na </w:t>
      </w:r>
      <w:r w:rsidR="006C3650">
        <w:rPr>
          <w:rFonts w:ascii="Times New Roman" w:hAnsi="Times New Roman" w:cs="Times New Roman"/>
          <w:bCs/>
          <w:sz w:val="28"/>
          <w:szCs w:val="28"/>
        </w:rPr>
        <w:t>zavedení eura v naší zemi. Jsem hluboce přesvědčen, že se jejich dílo stane neodmyslitelným podkladem pro odbornou diskusi, nezbytnou pro politické rozhodnutí o datu přijetí společné měny Českou republikou.</w:t>
      </w:r>
    </w:p>
    <w:p w:rsidR="006C3650" w:rsidRDefault="006C3650" w:rsidP="008C5E96">
      <w:pPr>
        <w:spacing w:after="0" w:line="240" w:lineRule="auto"/>
        <w:jc w:val="both"/>
        <w:rPr>
          <w:rFonts w:ascii="Times New Roman" w:hAnsi="Times New Roman" w:cs="Times New Roman"/>
          <w:bCs/>
          <w:sz w:val="28"/>
          <w:szCs w:val="28"/>
        </w:rPr>
      </w:pPr>
    </w:p>
    <w:p w:rsidR="006C3650" w:rsidRDefault="006C3650" w:rsidP="006C3650">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Prof. JUDr. PhDr. Michal Tomášek, DrSc.</w:t>
      </w:r>
    </w:p>
    <w:p w:rsidR="006C3650" w:rsidRPr="006C3650" w:rsidRDefault="006C3650" w:rsidP="006C3650">
      <w:pPr>
        <w:spacing w:after="0" w:line="240" w:lineRule="auto"/>
        <w:jc w:val="right"/>
        <w:rPr>
          <w:rFonts w:ascii="Times New Roman" w:hAnsi="Times New Roman" w:cs="Times New Roman"/>
          <w:bCs/>
          <w:sz w:val="24"/>
          <w:szCs w:val="24"/>
        </w:rPr>
      </w:pPr>
      <w:r w:rsidRPr="006C3650">
        <w:rPr>
          <w:rFonts w:ascii="Times New Roman" w:hAnsi="Times New Roman" w:cs="Times New Roman"/>
          <w:bCs/>
          <w:sz w:val="24"/>
          <w:szCs w:val="24"/>
        </w:rPr>
        <w:t>Proděkan Právnické fakulty Univerzity Karlovy</w:t>
      </w:r>
    </w:p>
    <w:p w:rsidR="00A337BE" w:rsidRDefault="00A337BE" w:rsidP="008C5E96">
      <w:pPr>
        <w:spacing w:after="0" w:line="240" w:lineRule="auto"/>
        <w:jc w:val="both"/>
        <w:rPr>
          <w:rFonts w:ascii="Times New Roman" w:hAnsi="Times New Roman" w:cs="Times New Roman"/>
          <w:bCs/>
          <w:sz w:val="28"/>
          <w:szCs w:val="28"/>
        </w:rPr>
      </w:pPr>
    </w:p>
    <w:p w:rsidR="006C3650" w:rsidRDefault="006C3650" w:rsidP="008C5E9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Praha, říjen 2014</w:t>
      </w:r>
    </w:p>
    <w:sectPr w:rsidR="006C36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96" w:rsidRDefault="008C5E96" w:rsidP="008C5E96">
      <w:pPr>
        <w:spacing w:after="0" w:line="240" w:lineRule="auto"/>
      </w:pPr>
      <w:r>
        <w:separator/>
      </w:r>
    </w:p>
  </w:endnote>
  <w:endnote w:type="continuationSeparator" w:id="0">
    <w:p w:rsidR="008C5E96" w:rsidRDefault="008C5E96" w:rsidP="008C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96" w:rsidRDefault="008C5E96" w:rsidP="008C5E96">
      <w:pPr>
        <w:spacing w:after="0" w:line="240" w:lineRule="auto"/>
      </w:pPr>
      <w:r>
        <w:separator/>
      </w:r>
    </w:p>
  </w:footnote>
  <w:footnote w:type="continuationSeparator" w:id="0">
    <w:p w:rsidR="008C5E96" w:rsidRDefault="008C5E96" w:rsidP="008C5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A4"/>
    <w:rsid w:val="002602EF"/>
    <w:rsid w:val="00392E48"/>
    <w:rsid w:val="003E26E5"/>
    <w:rsid w:val="005C4887"/>
    <w:rsid w:val="005D1E36"/>
    <w:rsid w:val="0065400D"/>
    <w:rsid w:val="0068753B"/>
    <w:rsid w:val="006C3650"/>
    <w:rsid w:val="007439C4"/>
    <w:rsid w:val="00837ACF"/>
    <w:rsid w:val="008649A4"/>
    <w:rsid w:val="00895D0A"/>
    <w:rsid w:val="008C5E96"/>
    <w:rsid w:val="009166AB"/>
    <w:rsid w:val="00963CB4"/>
    <w:rsid w:val="00A337BE"/>
    <w:rsid w:val="00B02F7C"/>
    <w:rsid w:val="00BC3F4A"/>
    <w:rsid w:val="00C22BF6"/>
    <w:rsid w:val="00C45398"/>
    <w:rsid w:val="00C840AF"/>
    <w:rsid w:val="00D40E6B"/>
    <w:rsid w:val="00D77A22"/>
    <w:rsid w:val="00DE0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8C5E96"/>
    <w:pPr>
      <w:spacing w:after="0" w:line="240" w:lineRule="auto"/>
      <w:jc w:val="center"/>
    </w:pPr>
    <w:rPr>
      <w:rFonts w:ascii="Arial" w:eastAsia="Times New Roman" w:hAnsi="Arial" w:cs="Times New Roman"/>
      <w:b/>
      <w:sz w:val="24"/>
      <w:szCs w:val="24"/>
      <w:lang w:eastAsia="cs-CZ"/>
    </w:rPr>
  </w:style>
  <w:style w:type="character" w:customStyle="1" w:styleId="ZkladntextChar">
    <w:name w:val="Základní text Char"/>
    <w:basedOn w:val="Standardnpsmoodstavce"/>
    <w:link w:val="Zkladntext"/>
    <w:semiHidden/>
    <w:rsid w:val="008C5E96"/>
    <w:rPr>
      <w:rFonts w:ascii="Arial" w:eastAsia="Times New Roman" w:hAnsi="Arial" w:cs="Times New Roman"/>
      <w:b/>
      <w:sz w:val="24"/>
      <w:szCs w:val="24"/>
      <w:lang w:eastAsia="cs-CZ"/>
    </w:rPr>
  </w:style>
  <w:style w:type="paragraph" w:styleId="Textpoznpodarou">
    <w:name w:val="footnote text"/>
    <w:basedOn w:val="Normln"/>
    <w:link w:val="TextpoznpodarouChar"/>
    <w:semiHidden/>
    <w:rsid w:val="008C5E96"/>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8C5E96"/>
    <w:rPr>
      <w:rFonts w:ascii="Times New Roman" w:eastAsia="Times New Roman" w:hAnsi="Times New Roman" w:cs="Times New Roman"/>
      <w:sz w:val="20"/>
      <w:szCs w:val="20"/>
      <w:lang w:eastAsia="cs-CZ"/>
    </w:rPr>
  </w:style>
  <w:style w:type="character" w:styleId="Znakapoznpodarou">
    <w:name w:val="footnote reference"/>
    <w:semiHidden/>
    <w:rsid w:val="008C5E96"/>
    <w:rPr>
      <w:vertAlign w:val="superscript"/>
    </w:rPr>
  </w:style>
  <w:style w:type="paragraph" w:styleId="Textbubliny">
    <w:name w:val="Balloon Text"/>
    <w:basedOn w:val="Normln"/>
    <w:link w:val="TextbublinyChar"/>
    <w:uiPriority w:val="99"/>
    <w:semiHidden/>
    <w:unhideWhenUsed/>
    <w:rsid w:val="00D77A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7A22"/>
    <w:rPr>
      <w:rFonts w:ascii="Tahoma" w:hAnsi="Tahoma" w:cs="Tahoma"/>
      <w:sz w:val="16"/>
      <w:szCs w:val="16"/>
    </w:rPr>
  </w:style>
  <w:style w:type="character" w:styleId="Odkaznakoment">
    <w:name w:val="annotation reference"/>
    <w:basedOn w:val="Standardnpsmoodstavce"/>
    <w:uiPriority w:val="99"/>
    <w:semiHidden/>
    <w:unhideWhenUsed/>
    <w:rsid w:val="00D77A22"/>
    <w:rPr>
      <w:sz w:val="16"/>
      <w:szCs w:val="16"/>
    </w:rPr>
  </w:style>
  <w:style w:type="paragraph" w:styleId="Textkomente">
    <w:name w:val="annotation text"/>
    <w:basedOn w:val="Normln"/>
    <w:link w:val="TextkomenteChar"/>
    <w:uiPriority w:val="99"/>
    <w:semiHidden/>
    <w:unhideWhenUsed/>
    <w:rsid w:val="00D77A22"/>
    <w:pPr>
      <w:spacing w:line="240" w:lineRule="auto"/>
    </w:pPr>
    <w:rPr>
      <w:sz w:val="20"/>
      <w:szCs w:val="20"/>
    </w:rPr>
  </w:style>
  <w:style w:type="character" w:customStyle="1" w:styleId="TextkomenteChar">
    <w:name w:val="Text komentáře Char"/>
    <w:basedOn w:val="Standardnpsmoodstavce"/>
    <w:link w:val="Textkomente"/>
    <w:uiPriority w:val="99"/>
    <w:semiHidden/>
    <w:rsid w:val="00D77A22"/>
    <w:rPr>
      <w:sz w:val="20"/>
      <w:szCs w:val="20"/>
    </w:rPr>
  </w:style>
  <w:style w:type="paragraph" w:styleId="Pedmtkomente">
    <w:name w:val="annotation subject"/>
    <w:basedOn w:val="Textkomente"/>
    <w:next w:val="Textkomente"/>
    <w:link w:val="PedmtkomenteChar"/>
    <w:uiPriority w:val="99"/>
    <w:semiHidden/>
    <w:unhideWhenUsed/>
    <w:rsid w:val="00D77A22"/>
    <w:rPr>
      <w:b/>
      <w:bCs/>
    </w:rPr>
  </w:style>
  <w:style w:type="character" w:customStyle="1" w:styleId="PedmtkomenteChar">
    <w:name w:val="Předmět komentáře Char"/>
    <w:basedOn w:val="TextkomenteChar"/>
    <w:link w:val="Pedmtkomente"/>
    <w:uiPriority w:val="99"/>
    <w:semiHidden/>
    <w:rsid w:val="00D77A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8C5E96"/>
    <w:pPr>
      <w:spacing w:after="0" w:line="240" w:lineRule="auto"/>
      <w:jc w:val="center"/>
    </w:pPr>
    <w:rPr>
      <w:rFonts w:ascii="Arial" w:eastAsia="Times New Roman" w:hAnsi="Arial" w:cs="Times New Roman"/>
      <w:b/>
      <w:sz w:val="24"/>
      <w:szCs w:val="24"/>
      <w:lang w:eastAsia="cs-CZ"/>
    </w:rPr>
  </w:style>
  <w:style w:type="character" w:customStyle="1" w:styleId="ZkladntextChar">
    <w:name w:val="Základní text Char"/>
    <w:basedOn w:val="Standardnpsmoodstavce"/>
    <w:link w:val="Zkladntext"/>
    <w:semiHidden/>
    <w:rsid w:val="008C5E96"/>
    <w:rPr>
      <w:rFonts w:ascii="Arial" w:eastAsia="Times New Roman" w:hAnsi="Arial" w:cs="Times New Roman"/>
      <w:b/>
      <w:sz w:val="24"/>
      <w:szCs w:val="24"/>
      <w:lang w:eastAsia="cs-CZ"/>
    </w:rPr>
  </w:style>
  <w:style w:type="paragraph" w:styleId="Textpoznpodarou">
    <w:name w:val="footnote text"/>
    <w:basedOn w:val="Normln"/>
    <w:link w:val="TextpoznpodarouChar"/>
    <w:semiHidden/>
    <w:rsid w:val="008C5E96"/>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8C5E96"/>
    <w:rPr>
      <w:rFonts w:ascii="Times New Roman" w:eastAsia="Times New Roman" w:hAnsi="Times New Roman" w:cs="Times New Roman"/>
      <w:sz w:val="20"/>
      <w:szCs w:val="20"/>
      <w:lang w:eastAsia="cs-CZ"/>
    </w:rPr>
  </w:style>
  <w:style w:type="character" w:styleId="Znakapoznpodarou">
    <w:name w:val="footnote reference"/>
    <w:semiHidden/>
    <w:rsid w:val="008C5E96"/>
    <w:rPr>
      <w:vertAlign w:val="superscript"/>
    </w:rPr>
  </w:style>
  <w:style w:type="paragraph" w:styleId="Textbubliny">
    <w:name w:val="Balloon Text"/>
    <w:basedOn w:val="Normln"/>
    <w:link w:val="TextbublinyChar"/>
    <w:uiPriority w:val="99"/>
    <w:semiHidden/>
    <w:unhideWhenUsed/>
    <w:rsid w:val="00D77A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7A22"/>
    <w:rPr>
      <w:rFonts w:ascii="Tahoma" w:hAnsi="Tahoma" w:cs="Tahoma"/>
      <w:sz w:val="16"/>
      <w:szCs w:val="16"/>
    </w:rPr>
  </w:style>
  <w:style w:type="character" w:styleId="Odkaznakoment">
    <w:name w:val="annotation reference"/>
    <w:basedOn w:val="Standardnpsmoodstavce"/>
    <w:uiPriority w:val="99"/>
    <w:semiHidden/>
    <w:unhideWhenUsed/>
    <w:rsid w:val="00D77A22"/>
    <w:rPr>
      <w:sz w:val="16"/>
      <w:szCs w:val="16"/>
    </w:rPr>
  </w:style>
  <w:style w:type="paragraph" w:styleId="Textkomente">
    <w:name w:val="annotation text"/>
    <w:basedOn w:val="Normln"/>
    <w:link w:val="TextkomenteChar"/>
    <w:uiPriority w:val="99"/>
    <w:semiHidden/>
    <w:unhideWhenUsed/>
    <w:rsid w:val="00D77A22"/>
    <w:pPr>
      <w:spacing w:line="240" w:lineRule="auto"/>
    </w:pPr>
    <w:rPr>
      <w:sz w:val="20"/>
      <w:szCs w:val="20"/>
    </w:rPr>
  </w:style>
  <w:style w:type="character" w:customStyle="1" w:styleId="TextkomenteChar">
    <w:name w:val="Text komentáře Char"/>
    <w:basedOn w:val="Standardnpsmoodstavce"/>
    <w:link w:val="Textkomente"/>
    <w:uiPriority w:val="99"/>
    <w:semiHidden/>
    <w:rsid w:val="00D77A22"/>
    <w:rPr>
      <w:sz w:val="20"/>
      <w:szCs w:val="20"/>
    </w:rPr>
  </w:style>
  <w:style w:type="paragraph" w:styleId="Pedmtkomente">
    <w:name w:val="annotation subject"/>
    <w:basedOn w:val="Textkomente"/>
    <w:next w:val="Textkomente"/>
    <w:link w:val="PedmtkomenteChar"/>
    <w:uiPriority w:val="99"/>
    <w:semiHidden/>
    <w:unhideWhenUsed/>
    <w:rsid w:val="00D77A22"/>
    <w:rPr>
      <w:b/>
      <w:bCs/>
    </w:rPr>
  </w:style>
  <w:style w:type="character" w:customStyle="1" w:styleId="PedmtkomenteChar">
    <w:name w:val="Předmět komentáře Char"/>
    <w:basedOn w:val="TextkomenteChar"/>
    <w:link w:val="Pedmtkomente"/>
    <w:uiPriority w:val="99"/>
    <w:semiHidden/>
    <w:rsid w:val="00D77A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621</Words>
  <Characters>3670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Tomasek</dc:creator>
  <cp:lastModifiedBy>sarka marcanova</cp:lastModifiedBy>
  <cp:revision>9</cp:revision>
  <cp:lastPrinted>2014-10-06T07:11:00Z</cp:lastPrinted>
  <dcterms:created xsi:type="dcterms:W3CDTF">2014-10-10T06:30:00Z</dcterms:created>
  <dcterms:modified xsi:type="dcterms:W3CDTF">2014-11-27T09:38:00Z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-410876041</vt:i4>
  </property>
  <property fmtid="{D5CDD505-2E9C-101B-9397-08002B2CF9AE}" pid="3" name="_NewReviewCycle">
    <vt:lpwstr/>
  </property>
  <property fmtid="{D5CDD505-2E9C-101B-9397-08002B2CF9AE}" pid="4" name="_EmailSubject">
    <vt:lpwstr>Předmluva prof. Tomáška</vt:lpwstr>
  </property>
  <property fmtid="{D5CDD505-2E9C-101B-9397-08002B2CF9AE}" pid="5" name="_AuthorEmail">
    <vt:lpwstr>Tomas.Rydl@cnb.cz</vt:lpwstr>
  </property>
  <property fmtid="{D5CDD505-2E9C-101B-9397-08002B2CF9AE}" pid="6" name="_AuthorEmailDisplayName">
    <vt:lpwstr>Rýdl Tomáš</vt:lpwstr>
  </property>
  <property fmtid="{D5CDD505-2E9C-101B-9397-08002B2CF9AE}" pid="7" name="_PreviousAdHocReviewCycleID">
    <vt:i4>2092108933</vt:i4>
  </property>
  <property fmtid="{D5CDD505-2E9C-101B-9397-08002B2CF9AE}" pid="8" name="_ReviewingToolsShownOnce">
    <vt:lpwstr/>
  </property>
</Properties>
</file>